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 w:firstLineChars="200"/>
        <w:rPr>
          <w:rFonts w:hint="eastAsia" w:ascii="仿宋_GB2312" w:hAnsi="仿宋_GB2312" w:eastAsia="仿宋_GB2312" w:cs="仿宋_GB2312"/>
          <w:b/>
          <w:bCs/>
          <w:kern w:val="2"/>
          <w:sz w:val="40"/>
          <w:szCs w:val="4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44"/>
          <w:lang w:val="en-US" w:eastAsia="zh-CN" w:bidi="ar-SA"/>
        </w:rPr>
        <w:t xml:space="preserve">附件2：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2"/>
          <w:sz w:val="40"/>
          <w:szCs w:val="48"/>
          <w:lang w:val="en-US" w:eastAsia="zh-CN" w:bidi="ar-SA"/>
        </w:rPr>
        <w:t>《十堰郧润水利发展有限公司2020年11月招聘岗位一览表》</w:t>
      </w:r>
    </w:p>
    <w:tbl>
      <w:tblPr>
        <w:tblStyle w:val="4"/>
        <w:tblpPr w:leftFromText="180" w:rightFromText="180" w:vertAnchor="text" w:horzAnchor="page" w:tblpX="1178" w:tblpY="624"/>
        <w:tblOverlap w:val="never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783"/>
        <w:gridCol w:w="800"/>
        <w:gridCol w:w="838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 聘 条 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（1名）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①全日制大专及以上学历，财务管理、会计类相关专业，会计专业初级及以上职称，35岁以下，条件优异者可放宽；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②熟知国家财经法律法规政策，熟悉银行结算业务，熟练操作财务办公软件，3年以上财务工作经验；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③有较强的责任心及职业操守，作风严谨，无不良嗜好。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薪资待遇面议，根据岗位薪酬标准确定。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semiHidden/>
    <w:unhideWhenUsed/>
    <w:qFormat/>
    <w:uiPriority w:val="0"/>
    <w:pPr>
      <w:widowControl w:val="0"/>
      <w:jc w:val="both"/>
    </w:pPr>
    <w:rPr>
      <w:rFonts w:ascii="Arial" w:hAnsi="Arial" w:eastAsia="黑体" w:cstheme="minorBidi"/>
      <w:kern w:val="2"/>
      <w:sz w:val="20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2020-11-25T01:40:15Z</dcterms:created>
  <dc:creator>KFXJ</dc:creator>
  <cp:lastModifiedBy>KISEKI</cp:lastModifiedBy>
  <dcterms:modified xsi:type="dcterms:W3CDTF">2020-11-25T01:40:39Z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